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Münchner Kammerspiele, Falckenbergstr. 2, 80539 München</w:t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Production: sabine.kloetzer@kammerspiele.de, Tel.:+49 (0) 89 233 36702</w:t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Technical Direction: richard.illmer@muenchen.de, Tel.: +49 (0) 89 233 36906</w:t>
      </w:r>
      <w:r/>
    </w:p>
    <w:p>
      <w:pPr>
        <w:pStyle w:val="Normal"/>
        <w:spacing w:lineRule="auto" w:line="240"/>
        <w:jc w:val="left"/>
        <w:rPr>
          <w:sz w:val="20"/>
          <w:b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center"/>
        <w:rPr>
          <w:sz w:val="27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7"/>
          <w:u w:val="single"/>
          <w:shd w:fill="auto" w:val="clear"/>
        </w:rPr>
        <w:t>GUEST PERFORMANCES AT THE MÜNCHNER KAMMERSPIELE</w:t>
      </w:r>
      <w:r/>
    </w:p>
    <w:p>
      <w:pPr>
        <w:pStyle w:val="Normal"/>
        <w:spacing w:lineRule="auto" w:line="240"/>
        <w:jc w:val="center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CATALOGUE OF QUESTIONS AND INFORMATION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Dear guests,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we are happy to welcome you at Kammerspiele!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Here you find some basic Information from our side: 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Lists of available material and information about the specific venues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can be found on our homepage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hyperlink r:id="rId2">
        <w:r>
          <w:rPr>
            <w:rStyle w:val="Internetlink"/>
            <w:rFonts w:eastAsia="Arial" w:cs="Arial" w:ascii="Arial" w:hAnsi="Arial"/>
            <w:b w:val="false"/>
            <w:color w:val="0000FF"/>
            <w:sz w:val="24"/>
            <w:u w:val="single"/>
            <w:shd w:fill="auto" w:val="clear"/>
          </w:rPr>
          <w:t>ht</w:t>
        </w:r>
      </w:hyperlink>
      <w:hyperlink r:id="rId3">
        <w:r>
          <w:rPr>
            <w:rStyle w:val="Internetlink"/>
            <w:rFonts w:eastAsia="Arial" w:cs="Arial" w:ascii="Arial" w:hAnsi="Arial"/>
            <w:b w:val="false"/>
            <w:vanish/>
            <w:color w:val="0000FF"/>
            <w:sz w:val="24"/>
            <w:u w:val="single"/>
            <w:shd w:fill="auto" w:val="clear"/>
          </w:rPr>
          <w:t>HYPERLINK "http://www.muenchner-kammerspiele.de/technik"</w:t>
        </w:r>
      </w:hyperlink>
      <w:hyperlink r:id="rId4">
        <w:r>
          <w:rPr>
            <w:rStyle w:val="Internetlink"/>
            <w:rFonts w:eastAsia="Arial" w:cs="Arial" w:ascii="Arial" w:hAnsi="Arial"/>
            <w:b w:val="false"/>
            <w:color w:val="0000FF"/>
            <w:sz w:val="24"/>
            <w:u w:val="single"/>
            <w:shd w:fill="auto" w:val="clear"/>
          </w:rPr>
          <w:t>tp://www.muenchner-kammerspiele.de/technik</w:t>
        </w:r>
      </w:hyperlink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The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Technical Department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of the Kammerspiele g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u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arant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ees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to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support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the company with staff limited to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one shift (eight to maximum ten hours) per day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. Outside these hours and after a briefing it is possible for you to go on rehearsing or setting up on your own.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We assume that you take over the technical maintenance of your shows yourself, eg. you will run your shows without technical support by Kammerspiele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. If not, please let us know as soon as possible. 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There are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no parking spaces for trucks or cars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on the premise of the Münchner Kammerspiele! Details for loading trucks can be found at the end of this document</w:t>
      </w: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  <w:t>.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Opening hours of the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canteen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:</w:t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mondays till saturday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</w:t>
        <w:tab/>
        <w:t>9 a.m. - 1 a.m.*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sundays and holidays </w:t>
        <w:tab/>
        <w:t>4 p.m. - 1 a.m.*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*hot meals </w:t>
        <w:tab/>
        <w:tab/>
        <w:t>12 p.m. – 4 p.m. and 5 p.m. - 11.30 p.m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We kindly ask you to fill in this form and return it to the adress mentioned above</w:t>
      </w:r>
      <w:r>
        <w:rPr>
          <w:rFonts w:eastAsia="Arial" w:cs="Arial" w:ascii="Arial" w:hAnsi="Arial"/>
          <w:b/>
          <w:bCs/>
          <w:color w:val="auto"/>
          <w:sz w:val="24"/>
          <w:shd w:fill="auto" w:val="clear"/>
        </w:rPr>
        <w:t xml:space="preserve"> latest 4 weeks previous to the technical set up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. 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latest TechRider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</w:pPr>
      <w:r>
        <w:rPr>
          <w:rFonts w:eastAsia="Arial" w:cs="Arial" w:ascii="Arial" w:hAnsi="Arial"/>
          <w:b/>
          <w:bCs/>
          <w:color w:val="auto"/>
          <w:sz w:val="24"/>
          <w:shd w:fill="auto" w:val="clear"/>
        </w:rPr>
        <w:t>DWG- or PDF-drawing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of your set up in the specific floor plan of your Kammerspiele venue, eg.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lighting-, sound-, video and riggingplan including decoration and stage with key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</w:pPr>
      <w:hyperlink r:id="rId5">
        <w:r>
          <w:rPr>
            <w:rStyle w:val="Internetlink"/>
            <w:rFonts w:eastAsia="Arial" w:cs="Arial" w:ascii="Arial" w:hAnsi="Arial"/>
            <w:b w:val="false"/>
            <w:color w:val="0000FF"/>
            <w:sz w:val="24"/>
            <w:u w:val="single"/>
            <w:shd w:fill="auto" w:val="clear"/>
          </w:rPr>
          <w:t>http://www.muenchner-kammerspiele.de/technik</w:t>
        </w:r>
      </w:hyperlink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Photos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and possibly video of the production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Legal certificate "flame retardant B1 by DIN 4102" for textiles, curtains and similar material.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Thank you!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Münchner Kammerspiele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  <w:t xml:space="preserve"> </w:t>
      </w:r>
      <w:r/>
    </w:p>
    <w:p>
      <w:pPr>
        <w:pStyle w:val="Normal"/>
        <w:spacing w:lineRule="auto" w:line="240"/>
        <w:jc w:val="left"/>
        <w:rPr/>
      </w:pPr>
      <w:r>
        <w:rPr/>
      </w:r>
      <w:r/>
    </w:p>
    <w:p>
      <w:pPr>
        <w:pStyle w:val="Normal"/>
        <w:spacing w:lineRule="auto" w:line="240"/>
        <w:jc w:val="left"/>
        <w:rPr/>
      </w:pPr>
      <w:r>
        <w:rPr/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Title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of the Production and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dates of performances at Kammerspiele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Name and Address contract partner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Bank Connection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(IBAN, BIC)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VAT Number</w:t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    </w:t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Artistic contact person</w:t>
      </w: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(name, phone, e-mail)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Technical contact person</w:t>
      </w: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(name, phone, e-mail)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Contact person press material and texts for program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 xml:space="preserve"> </w:t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Stage</w:t>
      </w: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(Kammer 1, Kammer 2, Kammer 3)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Time schedule (detailed scheduling will be managed with production management)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Time of Load in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Amount and types of trucks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Duration of performance (intermissions?)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Time needed for Break down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Time of Load out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Staff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We assume that you take over the technical maintenance of your shows yourself, eg. you will run your shows without technical support by Kammerspiele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. If not so, please let us know as soon as possible.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List of technical staff of your company 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Name</w:t>
        <w:tab/>
        <w:tab/>
        <w:tab/>
        <w:t xml:space="preserve"> departments </w:t>
        <w:tab/>
        <w:tab/>
        <w:t>contact</w:t>
      </w:r>
      <w:r/>
    </w:p>
    <w:tbl>
      <w:tblPr>
        <w:tblW w:w="9206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3068"/>
        <w:gridCol w:w="3069"/>
        <w:gridCol w:w="3069"/>
      </w:tblGrid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</w:tbl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Scene changes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during the performance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Make-up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Is there staff from the Kammerspiele needed? (How many, how long and which kind of material)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if so, how many actors/actresses and which kind of make-up/hairstyles?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Dressings rooms and laundry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Amount of and persons per dressing room (male/female)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Notes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Cleaning of costumes (Amount and materials oft he costumes, other special requirements)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Dangerous actions</w:t>
      </w:r>
      <w:r/>
    </w:p>
    <w:p>
      <w:pPr>
        <w:pStyle w:val="Normal"/>
        <w:spacing w:lineRule="auto" w:line="240"/>
        <w:jc w:val="left"/>
        <w:rPr>
          <w:sz w:val="20"/>
          <w:b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List of dangerous actions and actions involving flammable material (e.g. cigarettes, candles, pyrotechnics etc., smoke, flashes, laser, weapons, acrobatics, volume) and safety measures taken.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Action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Safety Measure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Material requirements from the Kammerspiele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Stage requirements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Prop requirements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Costume requirements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Make-up requirements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Other requirements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Children</w:t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ind w:left="0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If children are participating in the performance, please attach the permission of the Labour Inspectorate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(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Gewerbeaufsichtsamt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).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Animals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Surtitles / Translation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obstructed view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Position of the prompter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Miscellaneous</w:t>
      </w:r>
      <w:r/>
    </w:p>
    <w:p>
      <w:pPr>
        <w:pStyle w:val="Normal"/>
        <w:spacing w:lineRule="auto" w:line="240"/>
        <w:ind w:left="0" w:right="0" w:hanging="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Contacts to the different departments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Lighting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Christian Schweig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christian.schweig@muenchen.de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0049 89-233 36673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Sound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Wolfram Schild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wolfram.schild@muenchen.de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0049 89-233 36958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Video / Surtitles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Nicolas Hemmelmann 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nicolas.hemmelmann@kammerspiele.de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0049 89-233 36961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b/>
          <w:bCs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bCs/>
          <w:color w:val="auto"/>
          <w:sz w:val="24"/>
          <w:u w:val="single"/>
          <w:shd w:fill="auto" w:val="clear"/>
        </w:rPr>
        <w:t>Make-Up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Brigitte Frank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brigitte.frank@muenchen.de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0049 89-233 36965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Costumes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Beatrix Türk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beatrix.tuerk@muenchen.de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0049 89- 233 37040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Props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Stefan Leeb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s.leeb@muenchen.de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0049 179 5262703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Loading and parking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There are no parking spaces for trucks or cars on the premise of the Münchner Kammerspiele!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Access without interruption to the loading area of the Münchner Kammerspiele is possible mondays till fridays between 8 a.m. and 3 p.m. due to a roadblock on the Falckenbergstraße. On request a roadblock can be arranged outside these usual times.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Please consider that trucks heavier than 7,5 tons require a Sunday driving permit on Sundays and holidays from 0 – 22h according to § 30 III, IV StVO.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There is a lifting table in the work yard for loading and unloading trucks. Measurements: 2m x 4m,max. height: 1,34m, max. load: 2.000kg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0"/>
    <w:family w:val="auto"/>
    <w:pitch w:val="default"/>
  </w:font>
  <w:font w:name="Times">
    <w:altName w:val="Times New Roman"/>
    <w:charset w:val="00"/>
    <w:family w:val="auto"/>
    <w:pitch w:val="default"/>
  </w:font>
  <w:font w:name="Symbol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en-US" w:eastAsia="en-US" w:bidi="en-US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TabellenInhalt">
    <w:name w:val="Tabellen Inhalt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enchner-kammerspiele.de/technik" TargetMode="External"/><Relationship Id="rId3" Type="http://schemas.openxmlformats.org/officeDocument/2006/relationships/hyperlink" Target="http://www.muenchner-kammerspiele.de/technik" TargetMode="External"/><Relationship Id="rId4" Type="http://schemas.openxmlformats.org/officeDocument/2006/relationships/hyperlink" Target="http://www.muenchner-kammerspiele.de/technik" TargetMode="External"/><Relationship Id="rId5" Type="http://schemas.openxmlformats.org/officeDocument/2006/relationships/hyperlink" Target="http://www.muenchner-kammerspiele.de/techni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989</TotalTime>
  <Application>LibreOffice/4.3.5.2$Windows_x86 LibreOffice_project/3a87456aaa6a95c63eea1c1b3201acedf0751bd5</Application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de-DE</dc:language>
  <dcterms:modified xsi:type="dcterms:W3CDTF">2018-06-13T17:38:05Z</dcterms:modified>
  <cp:revision>2</cp:revision>
</cp:coreProperties>
</file>